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A5" w:rsidRPr="001C5CA5" w:rsidRDefault="001C5CA5" w:rsidP="001C5CA5">
      <w:pPr>
        <w:pStyle w:val="a3"/>
        <w:shd w:val="clear" w:color="auto" w:fill="FFFFFF"/>
        <w:adjustRightInd w:val="0"/>
        <w:snapToGrid w:val="0"/>
        <w:spacing w:before="0" w:beforeAutospacing="0" w:after="0" w:afterAutospacing="0" w:line="360" w:lineRule="auto"/>
        <w:jc w:val="center"/>
        <w:rPr>
          <w:rFonts w:ascii="方正小标宋简体" w:eastAsia="方正小标宋简体" w:hAnsi="Arial" w:cs="Arial" w:hint="eastAsia"/>
          <w:b/>
          <w:color w:val="191919"/>
          <w:sz w:val="44"/>
          <w:szCs w:val="44"/>
        </w:rPr>
      </w:pPr>
      <w:r w:rsidRPr="001C5CA5">
        <w:rPr>
          <w:rStyle w:val="a4"/>
          <w:rFonts w:ascii="方正小标宋简体" w:eastAsia="方正小标宋简体" w:hAnsi="Arial" w:cs="Arial" w:hint="eastAsia"/>
          <w:b w:val="0"/>
          <w:color w:val="191919"/>
          <w:sz w:val="44"/>
          <w:szCs w:val="44"/>
          <w:bdr w:val="none" w:sz="0" w:space="0" w:color="auto" w:frame="1"/>
        </w:rPr>
        <w:t>中华人民共和国</w:t>
      </w:r>
      <w:bookmarkStart w:id="0" w:name="_GoBack"/>
      <w:r w:rsidRPr="001C5CA5">
        <w:rPr>
          <w:rStyle w:val="a4"/>
          <w:rFonts w:ascii="方正小标宋简体" w:eastAsia="方正小标宋简体" w:hAnsi="Arial" w:cs="Arial" w:hint="eastAsia"/>
          <w:b w:val="0"/>
          <w:color w:val="191919"/>
          <w:sz w:val="44"/>
          <w:szCs w:val="44"/>
          <w:bdr w:val="none" w:sz="0" w:space="0" w:color="auto" w:frame="1"/>
        </w:rPr>
        <w:t>反间谍法</w:t>
      </w:r>
      <w:bookmarkEnd w:id="0"/>
      <w:r w:rsidRPr="001C5CA5">
        <w:rPr>
          <w:rStyle w:val="a4"/>
          <w:rFonts w:ascii="方正小标宋简体" w:eastAsia="方正小标宋简体" w:hAnsi="Arial" w:cs="Arial" w:hint="eastAsia"/>
          <w:b w:val="0"/>
          <w:color w:val="191919"/>
          <w:sz w:val="44"/>
          <w:szCs w:val="44"/>
          <w:bdr w:val="none" w:sz="0" w:space="0" w:color="auto" w:frame="1"/>
        </w:rPr>
        <w:t>(全文)</w:t>
      </w:r>
    </w:p>
    <w:p w:rsidR="001C5CA5" w:rsidRDefault="001C5CA5" w:rsidP="001C5CA5">
      <w:pPr>
        <w:pStyle w:val="a3"/>
        <w:shd w:val="clear" w:color="auto" w:fill="FFFFFF"/>
        <w:adjustRightInd w:val="0"/>
        <w:snapToGrid w:val="0"/>
        <w:spacing w:before="0" w:beforeAutospacing="0" w:after="0" w:afterAutospacing="0" w:line="360" w:lineRule="auto"/>
        <w:jc w:val="center"/>
        <w:rPr>
          <w:rFonts w:ascii="Arial" w:hAnsi="Arial" w:cs="Arial"/>
          <w:color w:val="191919"/>
        </w:rPr>
      </w:pPr>
      <w:r>
        <w:rPr>
          <w:rFonts w:ascii="Arial" w:hAnsi="Arial" w:cs="Arial"/>
          <w:color w:val="191919"/>
          <w:bdr w:val="none" w:sz="0" w:space="0" w:color="auto" w:frame="1"/>
        </w:rPr>
        <w:t>(2014</w:t>
      </w:r>
      <w:r>
        <w:rPr>
          <w:rFonts w:ascii="Arial" w:hAnsi="Arial" w:cs="Arial"/>
          <w:color w:val="191919"/>
          <w:bdr w:val="none" w:sz="0" w:space="0" w:color="auto" w:frame="1"/>
        </w:rPr>
        <w:t>年</w:t>
      </w:r>
      <w:r>
        <w:rPr>
          <w:rFonts w:ascii="Arial" w:hAnsi="Arial" w:cs="Arial"/>
          <w:color w:val="191919"/>
          <w:bdr w:val="none" w:sz="0" w:space="0" w:color="auto" w:frame="1"/>
        </w:rPr>
        <w:t>11</w:t>
      </w:r>
      <w:r>
        <w:rPr>
          <w:rFonts w:ascii="Arial" w:hAnsi="Arial" w:cs="Arial"/>
          <w:color w:val="191919"/>
          <w:bdr w:val="none" w:sz="0" w:space="0" w:color="auto" w:frame="1"/>
        </w:rPr>
        <w:t>月</w:t>
      </w:r>
      <w:r>
        <w:rPr>
          <w:rFonts w:ascii="Arial" w:hAnsi="Arial" w:cs="Arial"/>
          <w:color w:val="191919"/>
          <w:bdr w:val="none" w:sz="0" w:space="0" w:color="auto" w:frame="1"/>
        </w:rPr>
        <w:t>1</w:t>
      </w:r>
      <w:r>
        <w:rPr>
          <w:rFonts w:ascii="Arial" w:hAnsi="Arial" w:cs="Arial"/>
          <w:color w:val="191919"/>
          <w:bdr w:val="none" w:sz="0" w:space="0" w:color="auto" w:frame="1"/>
        </w:rPr>
        <w:t>日第十二届全国人民代表大会常务委员会第十一次会议通过</w:t>
      </w:r>
      <w:r>
        <w:rPr>
          <w:rFonts w:ascii="Arial" w:hAnsi="Arial" w:cs="Arial"/>
          <w:color w:val="191919"/>
          <w:bdr w:val="none" w:sz="0" w:space="0" w:color="auto" w:frame="1"/>
        </w:rPr>
        <w:t>)</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第一章总则</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第一条为了防范、制止和惩治间谍行为，维护国家安全，根据宪法，制定本法。</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第二条反间谍工作坚持中央统一领导，坚持公开工作与秘密工作相结合、专门工作与群众路线相结合、积极防御、依法惩治的原则。</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第三条国家安全机关是反间谍工作的主管机关。</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公安、保密行政管理等其他有关部门和军队有关部门按照职责分工，密切配合，加强协调，依法做好有关工作。</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第四条中华人民共和国公民有维护国家的安全、荣誉和利益的义务，不得有危害国家的安全、荣誉和利益的行为。</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一切国家机关和武装力量、各政党和各社会团体及各企业事业组织，都有防范、制止间谍行为，维护国家安全的义务。</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国家安全机关在反间谍工作中必须依靠人民的支持，动员、组织人民防范、制止危害国家安全的间谍行为。</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第五条反间谍工作应当依法进行，尊重和保障人权，保障公民和组织的合法权益。</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第六条境外机构、组织、个人实施或者指使、资助他人实施的，或者境内机构、组织、个人与境外机构、组织、个人相勾结实施的危害中华人民共和国国家安全的间谍行为，都必须受到法律追究。</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第七条国家对支持、协助反间谍工作的组织和个人给予保护，对有重大贡献的给予奖励。</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第二章国家安全机关在反间谍工作中的职权</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第八条国家安全机关在反间谍工作中依法行使侦查、拘留、预审和执行逮捕以及法律规定的其他职权。</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第九条国家安全机关的工作人员依法执行任务时，依照规定出示相应证件，有权查验中国公民或者境外人员的身份证明，向有关组织和人员调查、询问有关情况。</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lastRenderedPageBreak/>
        <w:t>第十条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第十一条国家安全机关的工作人员在依法执行紧急任务的情况下，经出示相应证件，可以优先乘坐公共交通工具，遇交通阻碍时，优先通行。</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第十二条国家安全机关因侦察间谍行为的需要，根据国家有关规定，经过严格的批准手续，可以采取技术侦察措施。</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三条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对依照前款规定查封、扣押的设备、设施，在危害国家安全的情形消除后，国家安全机关应当及时解除查封、扣押。</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第十四条国家安全机关因反间谍工作需要，根据国家有关规定，可以提请海关、边防等检查机关对有关人员和资料、器材免检。有关检查机关应当予以协助。</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第十五条国家安全机关对用于间谍行为的工具和其他财物，以及用于资助间谍行为的资金、场所、物资，经设区的市级以上国家安全机关负责人批准，可以依法查封、扣押、冻结。</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六条国家安全机关根据反间谍工作需要，可以会同有关部门制定反间谍技术防范标准，指导有关部门落实反间谍技术防范措施，对存在隐患的部门，经过严格的批准手续，可以进行反间谍技术防范检查和检测。</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第十七条国家安全机关及其工作人员在工作中，应当严格依法办事，不得超越职权、滥用职权，不得侵犯组织和个人的合法权益。</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lastRenderedPageBreak/>
        <w:t>国家安全机关及其工作人员依法履行反间谍工作职责获取的组织和个人的信息、材料，只能用于反间谍工作。对属于国家秘密、商业秘密和个人隐私的，应当保密。</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第十八条国家安全机关工作人员依法执行职务受法律保护。</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第三章公民和组织的义务和权利</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第十九条机关、团体和其他组织应当对本单位的人员进行维护国家安全的教育，动员、组织本单位的人员防范、制止间谍行为。</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第二十条公民和组织应当为反间谍工作提供便利或者其他协助。</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因协助反间谍工作，本人或者其近亲属的人身安全面临危险的，可以向国家安全机关请求予以保护。国家安全机关应当会同有关部门依法采取保护措施。</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第二十一条公民和组织发现间谍行为，应当及时向国家安全机关报告；向公安机关等其他国家机关、组织报告的，相关国家机关、组织应当立即移送国家安全机关处理。</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第二十二条在国家安全机关调查了解有关间谍行为的情况、收集有关证据时，有关组织和个人应当如实提供，不得拒绝。</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第二十三条任何公民和组织都应当保守所知悉的有关反间谍工作的国家秘密。</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第二十四条任何个人和组织都不得非法持有属于国家秘密的文件、资料和其他物品。</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第二十五条任何个人和组织都不得非法持有、使用间谍活动特殊需要的专用间谍器材。专用间谍器材由国务院国家安全主管部门依照国家有关规定确认。</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六条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对协助国家安全机关工作或者依法检举、控告的个人和组织，任何个人和组织不得压制和打击报复。</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第四章法律责任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第二十七条境外机构、组织、个人实施或者指使、资助他人实施，或者境内机构、组织、个人与境外机构、组织、个人相勾结实施间谍行为，构成犯罪的，依法追究刑事责任。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lastRenderedPageBreak/>
        <w:t>实施间谍行为，有自首或者立功表现的，可以从轻、减轻或者免除处罚；有重大立功表现的，给予奖励。</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八条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二十九条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第三十条以暴力、威胁方法阻碍国家安全机关依法执行任务的，依法追究刑事责任。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故意阻碍国家安全机关依法执行任务，未使用暴力、威胁方法，造成严重后果的，依法追究刑事责任；情节较轻的，由国家安全机关处十五日以下行政拘留。</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第三十一条泄露有关反间谍工作的国家秘密的，由国家安全机关处十五日以下行政拘留；构成犯罪的，依法追究刑事责任。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二条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三条隐藏、转移、变卖、损毁国家安全机关依法查封、扣押、冻结的财物的，或者明知是间谍活动的涉案财物而窝藏、转移、收购、代为销售或者以其他方法掩饰、隐瞒的，由国家安全机关追回。构成犯罪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第三十四条境外人员违反本法的，可以限期离境或者驱逐出境。</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五条当事人对行政处罚决定、行政强制措施决定不服的，可以自接到决定书之日起六十日内，向作出决定的上一级机关申请复议；对复议决定不服的，可以自接到复议决定书之日起十五日内向人民法院提起诉讼。</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lastRenderedPageBreak/>
        <w:t>第三十六条国家安全机关对依照本法查封、扣押、冻结的财物，应当妥善保管，并按照下列情形分别处理：</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一</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涉嫌犯罪的，依照刑事诉讼法的规定处理；</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二</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尚不构成犯罪，有违法事实的，对依法应当没收的予以没收，依法应当销毁的予以销毁；</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三</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没有违法事实的，或者与案件无关的，应当解除查封、扣押、冻结，并及时返还相关财物；造成损失的，应当依法赔偿。</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国家安全机关没收的财物，一律上缴国库。</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第三十七条国家安全机关工作人员滥用职权、玩忽职守、徇私舞弊，构成犯罪的，或者有非法拘禁、刑讯逼供、暴力取证、违反规定泄露国家秘密、商业秘密和个人隐私等行为，构成犯罪的，依法追究刑事责任。</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第五章附则</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第三十八条本法所称间谍行为，是指下列行为：</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一</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间谍组织及其代理人实施或者指使、资助他人实施，或者境内外机构、组织、个人与其相勾结实施的危害中华人民共和国国家安全的活动；</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二</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参加间谍组织或者接受间谍组织及其代理人的任务的；</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三</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四</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为敌人指示攻击目标的；</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五</w:t>
      </w:r>
      <w:r w:rsidRPr="001C5CA5">
        <w:rPr>
          <w:rFonts w:ascii="Arial" w:hAnsi="Arial" w:cs="Arial"/>
          <w:color w:val="191919"/>
          <w:bdr w:val="none" w:sz="0" w:space="0" w:color="auto" w:frame="1"/>
        </w:rPr>
        <w:t>)</w:t>
      </w:r>
      <w:r w:rsidRPr="001C5CA5">
        <w:rPr>
          <w:rFonts w:ascii="Arial" w:hAnsi="Arial" w:cs="Arial"/>
          <w:color w:val="191919"/>
          <w:bdr w:val="none" w:sz="0" w:space="0" w:color="auto" w:frame="1"/>
        </w:rPr>
        <w:t>进行其他间谍活动的。</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第三十九条国家安全机关、公安机关依照法律、行政法规和国家有关规定，履行防范、制止和惩治间谍行为以外的其他危害国家安全行为的职责，适用本法的有关规定。</w:t>
      </w:r>
    </w:p>
    <w:p w:rsidR="001C5CA5" w:rsidRPr="001C5CA5" w:rsidRDefault="001C5CA5" w:rsidP="001C5CA5">
      <w:pPr>
        <w:pStyle w:val="a3"/>
        <w:shd w:val="clear" w:color="auto" w:fill="FFFFFF"/>
        <w:adjustRightInd w:val="0"/>
        <w:snapToGrid w:val="0"/>
        <w:spacing w:before="0" w:beforeAutospacing="0" w:after="0" w:afterAutospacing="0" w:line="360" w:lineRule="auto"/>
        <w:rPr>
          <w:rFonts w:ascii="Arial" w:hAnsi="Arial" w:cs="Arial"/>
          <w:color w:val="191919"/>
        </w:rPr>
      </w:pPr>
      <w:r w:rsidRPr="001C5CA5">
        <w:rPr>
          <w:rFonts w:ascii="Arial" w:hAnsi="Arial" w:cs="Arial"/>
          <w:color w:val="191919"/>
          <w:bdr w:val="none" w:sz="0" w:space="0" w:color="auto" w:frame="1"/>
        </w:rPr>
        <w:t>第四十条本法自公布之日起施行。</w:t>
      </w:r>
      <w:r w:rsidRPr="001C5CA5">
        <w:rPr>
          <w:rFonts w:ascii="Arial" w:hAnsi="Arial" w:cs="Arial"/>
          <w:color w:val="191919"/>
          <w:bdr w:val="none" w:sz="0" w:space="0" w:color="auto" w:frame="1"/>
        </w:rPr>
        <w:t>1993</w:t>
      </w:r>
      <w:r w:rsidRPr="001C5CA5">
        <w:rPr>
          <w:rFonts w:ascii="Arial" w:hAnsi="Arial" w:cs="Arial"/>
          <w:color w:val="191919"/>
          <w:bdr w:val="none" w:sz="0" w:space="0" w:color="auto" w:frame="1"/>
        </w:rPr>
        <w:t>年</w:t>
      </w:r>
      <w:r w:rsidRPr="001C5CA5">
        <w:rPr>
          <w:rFonts w:ascii="Arial" w:hAnsi="Arial" w:cs="Arial"/>
          <w:color w:val="191919"/>
          <w:bdr w:val="none" w:sz="0" w:space="0" w:color="auto" w:frame="1"/>
        </w:rPr>
        <w:t>2</w:t>
      </w:r>
      <w:r w:rsidRPr="001C5CA5">
        <w:rPr>
          <w:rFonts w:ascii="Arial" w:hAnsi="Arial" w:cs="Arial"/>
          <w:color w:val="191919"/>
          <w:bdr w:val="none" w:sz="0" w:space="0" w:color="auto" w:frame="1"/>
        </w:rPr>
        <w:t>月</w:t>
      </w:r>
      <w:r w:rsidRPr="001C5CA5">
        <w:rPr>
          <w:rFonts w:ascii="Arial" w:hAnsi="Arial" w:cs="Arial"/>
          <w:color w:val="191919"/>
          <w:bdr w:val="none" w:sz="0" w:space="0" w:color="auto" w:frame="1"/>
        </w:rPr>
        <w:t>22</w:t>
      </w:r>
      <w:r w:rsidRPr="001C5CA5">
        <w:rPr>
          <w:rFonts w:ascii="Arial" w:hAnsi="Arial" w:cs="Arial"/>
          <w:color w:val="191919"/>
          <w:bdr w:val="none" w:sz="0" w:space="0" w:color="auto" w:frame="1"/>
        </w:rPr>
        <w:t>日第七届全国人民代表大会常务委员会第三十次会议通过的《中华人民共和国国家安全法》同时废止。</w:t>
      </w:r>
    </w:p>
    <w:p w:rsidR="00916373" w:rsidRDefault="00916373" w:rsidP="001C5CA5">
      <w:pPr>
        <w:adjustRightInd w:val="0"/>
        <w:snapToGrid w:val="0"/>
        <w:spacing w:line="360" w:lineRule="auto"/>
      </w:pPr>
    </w:p>
    <w:sectPr w:rsidR="00916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08"/>
    <w:rsid w:val="001C5CA5"/>
    <w:rsid w:val="00916373"/>
    <w:rsid w:val="00AD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249F1-6D0C-4BE8-B17F-D3F22EFE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C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2020-11-17T02:33:00Z</dcterms:created>
  <dcterms:modified xsi:type="dcterms:W3CDTF">2020-11-17T02:41:00Z</dcterms:modified>
</cp:coreProperties>
</file>